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6BE7" w:rsidRPr="00136BE7" w:rsidRDefault="00136BE7" w:rsidP="00136BE7">
      <w:pPr>
        <w:ind w:left="721" w:hangingChars="200" w:hanging="721"/>
        <w:rPr>
          <w:rFonts w:hint="eastAsia"/>
          <w:b/>
          <w:bCs/>
          <w:sz w:val="36"/>
          <w:szCs w:val="36"/>
        </w:rPr>
      </w:pPr>
      <w:r w:rsidRPr="00136BE7">
        <w:rPr>
          <w:rFonts w:hint="eastAsia"/>
          <w:b/>
          <w:bCs/>
          <w:sz w:val="36"/>
          <w:szCs w:val="36"/>
        </w:rPr>
        <w:t>電業法後續相關作業重點</w:t>
      </w:r>
      <w:r w:rsidRPr="00136BE7">
        <w:rPr>
          <w:rFonts w:hint="eastAsia"/>
          <w:b/>
          <w:bCs/>
          <w:sz w:val="36"/>
          <w:szCs w:val="36"/>
        </w:rPr>
        <w:t>:</w:t>
      </w:r>
    </w:p>
    <w:p w:rsidR="00E16CB9" w:rsidRDefault="00B7466B" w:rsidP="00B7466B">
      <w:pPr>
        <w:ind w:left="641" w:hangingChars="200" w:hanging="641"/>
        <w:rPr>
          <w:b/>
          <w:bCs/>
          <w:sz w:val="32"/>
          <w:szCs w:val="32"/>
        </w:rPr>
      </w:pPr>
      <w:r>
        <w:rPr>
          <w:rFonts w:hint="eastAsia"/>
          <w:b/>
          <w:bCs/>
          <w:sz w:val="32"/>
          <w:szCs w:val="32"/>
        </w:rPr>
        <w:t>一、</w:t>
      </w:r>
      <w:r w:rsidR="00F96568" w:rsidRPr="00E73224">
        <w:rPr>
          <w:rFonts w:hint="eastAsia"/>
          <w:b/>
          <w:bCs/>
          <w:sz w:val="32"/>
          <w:szCs w:val="32"/>
        </w:rPr>
        <w:t>106/6/19</w:t>
      </w:r>
      <w:r w:rsidR="00F96568" w:rsidRPr="00E73224">
        <w:rPr>
          <w:rFonts w:hint="eastAsia"/>
          <w:b/>
          <w:bCs/>
          <w:sz w:val="32"/>
          <w:szCs w:val="32"/>
        </w:rPr>
        <w:t>公用售電業電價費率計算公式</w:t>
      </w:r>
      <w:proofErr w:type="gramStart"/>
      <w:r w:rsidR="00F96568" w:rsidRPr="00E73224">
        <w:rPr>
          <w:rFonts w:hint="eastAsia"/>
          <w:b/>
          <w:bCs/>
          <w:sz w:val="32"/>
          <w:szCs w:val="32"/>
        </w:rPr>
        <w:t>研</w:t>
      </w:r>
      <w:proofErr w:type="gramEnd"/>
      <w:r w:rsidR="00F96568" w:rsidRPr="00E73224">
        <w:rPr>
          <w:rFonts w:hint="eastAsia"/>
          <w:b/>
          <w:bCs/>
          <w:sz w:val="32"/>
          <w:szCs w:val="32"/>
        </w:rPr>
        <w:t>商會議</w:t>
      </w:r>
      <w:r w:rsidR="00F96568" w:rsidRPr="00E73224">
        <w:rPr>
          <w:rFonts w:hint="eastAsia"/>
          <w:b/>
          <w:bCs/>
          <w:sz w:val="32"/>
          <w:szCs w:val="32"/>
        </w:rPr>
        <w:t>(</w:t>
      </w:r>
      <w:r w:rsidR="00F96568" w:rsidRPr="00E73224">
        <w:rPr>
          <w:rFonts w:hint="eastAsia"/>
          <w:b/>
          <w:bCs/>
          <w:sz w:val="32"/>
          <w:szCs w:val="32"/>
        </w:rPr>
        <w:t>向部次長報告</w:t>
      </w:r>
      <w:r w:rsidR="00F96568" w:rsidRPr="00E73224">
        <w:rPr>
          <w:rFonts w:hint="eastAsia"/>
          <w:b/>
          <w:bCs/>
          <w:sz w:val="32"/>
          <w:szCs w:val="32"/>
        </w:rPr>
        <w:t>)</w:t>
      </w:r>
      <w:r>
        <w:rPr>
          <w:rFonts w:hint="eastAsia"/>
          <w:b/>
          <w:bCs/>
          <w:sz w:val="32"/>
          <w:szCs w:val="32"/>
        </w:rPr>
        <w:t>，經濟部同意事項</w:t>
      </w:r>
      <w:r>
        <w:rPr>
          <w:rFonts w:hint="eastAsia"/>
          <w:b/>
          <w:bCs/>
          <w:sz w:val="32"/>
          <w:szCs w:val="32"/>
        </w:rPr>
        <w:t>:</w:t>
      </w:r>
    </w:p>
    <w:p w:rsidR="00E73224" w:rsidRPr="00E73224" w:rsidRDefault="00B7466B" w:rsidP="001640EC">
      <w:pPr>
        <w:ind w:leftChars="120" w:left="700" w:hangingChars="147" w:hanging="412"/>
        <w:rPr>
          <w:sz w:val="28"/>
          <w:szCs w:val="28"/>
        </w:rPr>
      </w:pPr>
      <w:r>
        <w:rPr>
          <w:rFonts w:hint="eastAsia"/>
          <w:sz w:val="28"/>
          <w:szCs w:val="28"/>
        </w:rPr>
        <w:t>(</w:t>
      </w:r>
      <w:proofErr w:type="gramStart"/>
      <w:r>
        <w:rPr>
          <w:rFonts w:hint="eastAsia"/>
          <w:sz w:val="28"/>
          <w:szCs w:val="28"/>
        </w:rPr>
        <w:t>一</w:t>
      </w:r>
      <w:proofErr w:type="gramEnd"/>
      <w:r>
        <w:rPr>
          <w:rFonts w:hint="eastAsia"/>
          <w:sz w:val="28"/>
          <w:szCs w:val="28"/>
        </w:rPr>
        <w:t>)</w:t>
      </w:r>
      <w:r w:rsidR="00E73224" w:rsidRPr="001640EC">
        <w:rPr>
          <w:rFonts w:hint="eastAsia"/>
          <w:spacing w:val="-10"/>
          <w:sz w:val="28"/>
          <w:szCs w:val="28"/>
        </w:rPr>
        <w:t>有關核四資產處理損失及核後端處置費用等項，同意納入電價公式反映。</w:t>
      </w:r>
    </w:p>
    <w:p w:rsidR="00E73224" w:rsidRPr="00E73224" w:rsidRDefault="00B7466B" w:rsidP="001640EC">
      <w:pPr>
        <w:ind w:firstLineChars="100" w:firstLine="280"/>
        <w:rPr>
          <w:spacing w:val="-20"/>
          <w:sz w:val="28"/>
          <w:szCs w:val="28"/>
        </w:rPr>
      </w:pPr>
      <w:r>
        <w:rPr>
          <w:rFonts w:hint="eastAsia"/>
          <w:sz w:val="28"/>
          <w:szCs w:val="28"/>
        </w:rPr>
        <w:t>(</w:t>
      </w:r>
      <w:r>
        <w:rPr>
          <w:rFonts w:hint="eastAsia"/>
          <w:sz w:val="28"/>
          <w:szCs w:val="28"/>
        </w:rPr>
        <w:t>二</w:t>
      </w:r>
      <w:r>
        <w:rPr>
          <w:rFonts w:hint="eastAsia"/>
          <w:sz w:val="28"/>
          <w:szCs w:val="28"/>
        </w:rPr>
        <w:t>)</w:t>
      </w:r>
      <w:r w:rsidR="00E73224" w:rsidRPr="00C542E4">
        <w:rPr>
          <w:rFonts w:hint="eastAsia"/>
          <w:sz w:val="28"/>
          <w:szCs w:val="28"/>
        </w:rPr>
        <w:t>原則上同意本公司有關各經營類別成本及利潤估算建議公式。</w:t>
      </w:r>
    </w:p>
    <w:p w:rsidR="00E73224" w:rsidRDefault="00B7466B" w:rsidP="001640EC">
      <w:pPr>
        <w:ind w:firstLineChars="100" w:firstLine="280"/>
        <w:rPr>
          <w:sz w:val="32"/>
          <w:szCs w:val="32"/>
        </w:rPr>
      </w:pPr>
      <w:r>
        <w:rPr>
          <w:rFonts w:hint="eastAsia"/>
          <w:sz w:val="28"/>
          <w:szCs w:val="28"/>
        </w:rPr>
        <w:t>(</w:t>
      </w:r>
      <w:r>
        <w:rPr>
          <w:rFonts w:hint="eastAsia"/>
          <w:sz w:val="28"/>
          <w:szCs w:val="28"/>
        </w:rPr>
        <w:t>三</w:t>
      </w:r>
      <w:r>
        <w:rPr>
          <w:rFonts w:hint="eastAsia"/>
          <w:sz w:val="28"/>
          <w:szCs w:val="28"/>
        </w:rPr>
        <w:t>)</w:t>
      </w:r>
      <w:r w:rsidR="00E73224" w:rsidRPr="00E73224">
        <w:rPr>
          <w:rFonts w:hint="eastAsia"/>
          <w:sz w:val="28"/>
          <w:szCs w:val="28"/>
        </w:rPr>
        <w:t>將訂定各類別電業之績效指標，並依達成狀況核定合理利潤。</w:t>
      </w:r>
    </w:p>
    <w:p w:rsidR="00E73224" w:rsidRPr="00E73224" w:rsidRDefault="00E16CB9" w:rsidP="00E16CB9">
      <w:pPr>
        <w:widowControl/>
        <w:ind w:left="480" w:hangingChars="150" w:hanging="480"/>
        <w:rPr>
          <w:sz w:val="32"/>
          <w:szCs w:val="32"/>
        </w:rPr>
      </w:pPr>
      <w:r>
        <w:rPr>
          <w:rFonts w:hint="eastAsia"/>
          <w:b/>
          <w:bCs/>
          <w:sz w:val="32"/>
          <w:szCs w:val="32"/>
        </w:rPr>
        <w:t>二、</w:t>
      </w:r>
      <w:r w:rsidR="00E73224" w:rsidRPr="00E73224">
        <w:rPr>
          <w:rFonts w:hint="eastAsia"/>
          <w:b/>
          <w:bCs/>
          <w:sz w:val="32"/>
          <w:szCs w:val="32"/>
        </w:rPr>
        <w:t>106/6/26</w:t>
      </w:r>
      <w:r w:rsidR="00E73224" w:rsidRPr="00E73224">
        <w:rPr>
          <w:rFonts w:hint="eastAsia"/>
          <w:b/>
          <w:bCs/>
          <w:sz w:val="32"/>
          <w:szCs w:val="32"/>
        </w:rPr>
        <w:t>討論公用售電業電價費率計算公式</w:t>
      </w:r>
      <w:r w:rsidR="00E73224" w:rsidRPr="00E73224">
        <w:rPr>
          <w:rFonts w:hint="eastAsia"/>
          <w:b/>
          <w:bCs/>
          <w:sz w:val="32"/>
          <w:szCs w:val="32"/>
        </w:rPr>
        <w:t>(</w:t>
      </w:r>
      <w:r>
        <w:rPr>
          <w:rFonts w:hint="eastAsia"/>
          <w:b/>
          <w:bCs/>
          <w:sz w:val="32"/>
          <w:szCs w:val="32"/>
        </w:rPr>
        <w:t>赴能源局</w:t>
      </w:r>
      <w:r w:rsidR="00E73224" w:rsidRPr="00E73224">
        <w:rPr>
          <w:rFonts w:hint="eastAsia"/>
          <w:b/>
          <w:bCs/>
          <w:sz w:val="32"/>
          <w:szCs w:val="32"/>
        </w:rPr>
        <w:t>討論</w:t>
      </w:r>
      <w:r w:rsidR="00E73224" w:rsidRPr="00E73224">
        <w:rPr>
          <w:rFonts w:hint="eastAsia"/>
          <w:b/>
          <w:bCs/>
          <w:sz w:val="32"/>
          <w:szCs w:val="32"/>
        </w:rPr>
        <w:t>)</w:t>
      </w:r>
      <w:r>
        <w:rPr>
          <w:rFonts w:hint="eastAsia"/>
          <w:b/>
          <w:bCs/>
          <w:sz w:val="32"/>
          <w:szCs w:val="32"/>
        </w:rPr>
        <w:t>，結論事項如下</w:t>
      </w:r>
      <w:r>
        <w:rPr>
          <w:rFonts w:hint="eastAsia"/>
          <w:b/>
          <w:bCs/>
          <w:sz w:val="32"/>
          <w:szCs w:val="32"/>
        </w:rPr>
        <w:t>:</w:t>
      </w:r>
    </w:p>
    <w:p w:rsidR="00E73224" w:rsidRDefault="00E16CB9" w:rsidP="001640EC">
      <w:pPr>
        <w:ind w:firstLineChars="100" w:firstLine="280"/>
        <w:rPr>
          <w:sz w:val="28"/>
          <w:szCs w:val="28"/>
        </w:rPr>
      </w:pPr>
      <w:r>
        <w:rPr>
          <w:rFonts w:hint="eastAsia"/>
          <w:sz w:val="28"/>
          <w:szCs w:val="28"/>
        </w:rPr>
        <w:t>(</w:t>
      </w:r>
      <w:proofErr w:type="gramStart"/>
      <w:r>
        <w:rPr>
          <w:rFonts w:hint="eastAsia"/>
          <w:sz w:val="28"/>
          <w:szCs w:val="28"/>
        </w:rPr>
        <w:t>一</w:t>
      </w:r>
      <w:proofErr w:type="gramEnd"/>
      <w:r>
        <w:rPr>
          <w:rFonts w:hint="eastAsia"/>
          <w:sz w:val="28"/>
          <w:szCs w:val="28"/>
        </w:rPr>
        <w:t>)</w:t>
      </w:r>
      <w:r w:rsidR="00E73224" w:rsidRPr="001640EC">
        <w:rPr>
          <w:rFonts w:hint="eastAsia"/>
          <w:sz w:val="28"/>
          <w:szCs w:val="28"/>
        </w:rPr>
        <w:t>確定電價及費率計算公式，並將在建中固定資產納入費率基礎計算。</w:t>
      </w:r>
    </w:p>
    <w:p w:rsidR="001640EC" w:rsidRDefault="001640EC" w:rsidP="001640EC">
      <w:pPr>
        <w:ind w:firstLineChars="100" w:firstLine="280"/>
        <w:rPr>
          <w:sz w:val="28"/>
          <w:szCs w:val="28"/>
        </w:rPr>
      </w:pPr>
      <w:r>
        <w:rPr>
          <w:rFonts w:hint="eastAsia"/>
          <w:sz w:val="28"/>
          <w:szCs w:val="28"/>
        </w:rPr>
        <w:t xml:space="preserve">   1.</w:t>
      </w:r>
      <w:r>
        <w:rPr>
          <w:rFonts w:hint="eastAsia"/>
          <w:sz w:val="28"/>
          <w:szCs w:val="28"/>
        </w:rPr>
        <w:t>電價公式目前</w:t>
      </w:r>
      <w:proofErr w:type="gramStart"/>
      <w:r>
        <w:rPr>
          <w:rFonts w:hint="eastAsia"/>
          <w:sz w:val="28"/>
          <w:szCs w:val="28"/>
        </w:rPr>
        <w:t>研</w:t>
      </w:r>
      <w:proofErr w:type="gramEnd"/>
      <w:r>
        <w:rPr>
          <w:rFonts w:hint="eastAsia"/>
          <w:sz w:val="28"/>
          <w:szCs w:val="28"/>
        </w:rPr>
        <w:t>擬方向</w:t>
      </w:r>
      <w:r>
        <w:rPr>
          <w:rFonts w:hint="eastAsia"/>
          <w:sz w:val="28"/>
          <w:szCs w:val="28"/>
        </w:rPr>
        <w:t>:</w:t>
      </w:r>
    </w:p>
    <w:p w:rsidR="001640EC" w:rsidRPr="001640EC" w:rsidRDefault="001640EC" w:rsidP="001640EC">
      <w:pPr>
        <w:ind w:leftChars="116" w:left="978" w:hangingChars="250" w:hanging="700"/>
        <w:rPr>
          <w:sz w:val="28"/>
          <w:szCs w:val="28"/>
        </w:rPr>
      </w:pPr>
      <w:r>
        <w:rPr>
          <w:rFonts w:hint="eastAsia"/>
          <w:sz w:val="28"/>
          <w:szCs w:val="28"/>
        </w:rPr>
        <w:t xml:space="preserve">     </w:t>
      </w:r>
      <w:r w:rsidRPr="001640EC">
        <w:rPr>
          <w:rFonts w:hint="eastAsia"/>
          <w:sz w:val="28"/>
          <w:szCs w:val="28"/>
        </w:rPr>
        <w:t>考量公用售電業電價公式之精神係以公用售電業角度計算各項成本與合理利潤，故成本項目將包含以下三項：</w:t>
      </w:r>
    </w:p>
    <w:p w:rsidR="001640EC" w:rsidRPr="001640EC" w:rsidRDefault="001640EC" w:rsidP="001640EC">
      <w:pPr>
        <w:ind w:firstLineChars="350" w:firstLine="980"/>
        <w:rPr>
          <w:sz w:val="28"/>
          <w:szCs w:val="28"/>
        </w:rPr>
      </w:pPr>
      <w:r w:rsidRPr="001640EC">
        <w:rPr>
          <w:rFonts w:hint="eastAsia"/>
          <w:sz w:val="28"/>
          <w:szCs w:val="28"/>
        </w:rPr>
        <w:t>(A)</w:t>
      </w:r>
      <w:r w:rsidRPr="001640EC">
        <w:rPr>
          <w:rFonts w:hint="eastAsia"/>
          <w:sz w:val="28"/>
          <w:szCs w:val="28"/>
        </w:rPr>
        <w:t>為售電需要之購入電能成本，包含外部及內部之購電支出。</w:t>
      </w:r>
    </w:p>
    <w:p w:rsidR="001640EC" w:rsidRPr="001640EC" w:rsidRDefault="001640EC" w:rsidP="001640EC">
      <w:pPr>
        <w:ind w:firstLineChars="350" w:firstLine="980"/>
        <w:rPr>
          <w:sz w:val="28"/>
          <w:szCs w:val="28"/>
        </w:rPr>
      </w:pPr>
      <w:r w:rsidRPr="001640EC">
        <w:rPr>
          <w:rFonts w:hint="eastAsia"/>
          <w:sz w:val="28"/>
          <w:szCs w:val="28"/>
        </w:rPr>
        <w:t>(B)</w:t>
      </w:r>
      <w:r w:rsidRPr="001640EC">
        <w:rPr>
          <w:rFonts w:hint="eastAsia"/>
          <w:sz w:val="28"/>
          <w:szCs w:val="28"/>
        </w:rPr>
        <w:t>反映公用售電業負擔之輸配電成本。</w:t>
      </w:r>
    </w:p>
    <w:p w:rsidR="001640EC" w:rsidRPr="001640EC" w:rsidRDefault="001640EC" w:rsidP="001640EC">
      <w:pPr>
        <w:ind w:firstLineChars="350" w:firstLine="980"/>
        <w:rPr>
          <w:sz w:val="28"/>
          <w:szCs w:val="28"/>
        </w:rPr>
      </w:pPr>
      <w:r w:rsidRPr="001640EC">
        <w:rPr>
          <w:rFonts w:hint="eastAsia"/>
          <w:sz w:val="28"/>
          <w:szCs w:val="28"/>
        </w:rPr>
        <w:t>(C)</w:t>
      </w:r>
      <w:r w:rsidRPr="001640EC">
        <w:rPr>
          <w:rFonts w:hint="eastAsia"/>
          <w:sz w:val="28"/>
          <w:szCs w:val="28"/>
        </w:rPr>
        <w:t>售電服務之相關費用。</w:t>
      </w:r>
    </w:p>
    <w:p w:rsidR="001640EC" w:rsidRPr="001640EC" w:rsidRDefault="001640EC" w:rsidP="001640EC">
      <w:pPr>
        <w:ind w:firstLineChars="350" w:firstLine="910"/>
        <w:rPr>
          <w:spacing w:val="-10"/>
          <w:sz w:val="28"/>
          <w:szCs w:val="28"/>
        </w:rPr>
      </w:pPr>
      <w:r w:rsidRPr="001640EC">
        <w:rPr>
          <w:rFonts w:hint="eastAsia"/>
          <w:spacing w:val="-10"/>
          <w:sz w:val="28"/>
          <w:szCs w:val="28"/>
        </w:rPr>
        <w:t>並加上公用售電業之合理利潤後，除以售電度數得到每度平均電價。</w:t>
      </w:r>
    </w:p>
    <w:p w:rsidR="001640EC" w:rsidRDefault="001640EC" w:rsidP="001640EC">
      <w:pPr>
        <w:ind w:firstLineChars="253" w:firstLine="708"/>
        <w:rPr>
          <w:sz w:val="28"/>
          <w:szCs w:val="28"/>
        </w:rPr>
      </w:pPr>
      <w:r>
        <w:rPr>
          <w:rFonts w:hint="eastAsia"/>
          <w:sz w:val="28"/>
          <w:szCs w:val="28"/>
        </w:rPr>
        <w:t>2.</w:t>
      </w:r>
      <w:r>
        <w:rPr>
          <w:rFonts w:hint="eastAsia"/>
          <w:sz w:val="28"/>
          <w:szCs w:val="28"/>
        </w:rPr>
        <w:t>合理利潤建議方向</w:t>
      </w:r>
      <w:r>
        <w:rPr>
          <w:rFonts w:hint="eastAsia"/>
          <w:sz w:val="28"/>
          <w:szCs w:val="28"/>
        </w:rPr>
        <w:t>:</w:t>
      </w:r>
    </w:p>
    <w:p w:rsidR="001640EC" w:rsidRPr="001640EC" w:rsidRDefault="001640EC" w:rsidP="001640EC">
      <w:pPr>
        <w:ind w:firstLineChars="350" w:firstLine="980"/>
        <w:rPr>
          <w:sz w:val="28"/>
          <w:szCs w:val="28"/>
        </w:rPr>
      </w:pPr>
      <w:r w:rsidRPr="001640EC">
        <w:rPr>
          <w:rFonts w:hint="eastAsia"/>
          <w:sz w:val="28"/>
          <w:szCs w:val="28"/>
        </w:rPr>
        <w:t>合理利潤計算方式</w:t>
      </w:r>
      <w:r w:rsidRPr="001640EC">
        <w:rPr>
          <w:rFonts w:hint="eastAsia"/>
          <w:sz w:val="28"/>
          <w:szCs w:val="28"/>
        </w:rPr>
        <w:t>(104</w:t>
      </w:r>
      <w:r w:rsidRPr="001640EC">
        <w:rPr>
          <w:rFonts w:hint="eastAsia"/>
          <w:sz w:val="28"/>
          <w:szCs w:val="28"/>
        </w:rPr>
        <w:t>年版</w:t>
      </w:r>
      <w:r w:rsidRPr="001640EC">
        <w:rPr>
          <w:rFonts w:hint="eastAsia"/>
          <w:sz w:val="28"/>
          <w:szCs w:val="28"/>
        </w:rPr>
        <w:t>)</w:t>
      </w:r>
    </w:p>
    <w:p w:rsidR="001640EC" w:rsidRPr="001640EC" w:rsidRDefault="001640EC" w:rsidP="001640EC">
      <w:pPr>
        <w:ind w:firstLineChars="354" w:firstLine="991"/>
        <w:rPr>
          <w:sz w:val="28"/>
          <w:szCs w:val="28"/>
        </w:rPr>
      </w:pPr>
      <w:r w:rsidRPr="001640EC">
        <w:rPr>
          <w:rFonts w:hint="eastAsia"/>
          <w:sz w:val="28"/>
          <w:szCs w:val="28"/>
        </w:rPr>
        <w:t>合理利潤＝費率基礎</w:t>
      </w:r>
      <w:r w:rsidRPr="001640EC">
        <w:rPr>
          <w:sz w:val="28"/>
          <w:szCs w:val="28"/>
        </w:rPr>
        <w:t xml:space="preserve"> × </w:t>
      </w:r>
      <w:r w:rsidRPr="001640EC">
        <w:rPr>
          <w:rFonts w:hint="eastAsia"/>
          <w:sz w:val="28"/>
          <w:szCs w:val="28"/>
        </w:rPr>
        <w:t>投資報酬率</w:t>
      </w:r>
    </w:p>
    <w:p w:rsidR="001640EC" w:rsidRPr="001640EC" w:rsidRDefault="001640EC" w:rsidP="001640EC">
      <w:pPr>
        <w:ind w:leftChars="409" w:left="990" w:hangingChars="3" w:hanging="8"/>
        <w:rPr>
          <w:sz w:val="28"/>
          <w:szCs w:val="28"/>
        </w:rPr>
      </w:pPr>
      <w:r w:rsidRPr="001640EC">
        <w:rPr>
          <w:rFonts w:hint="eastAsia"/>
          <w:sz w:val="28"/>
          <w:szCs w:val="28"/>
        </w:rPr>
        <w:t>費率基礎＝</w:t>
      </w:r>
      <w:r w:rsidRPr="001640EC">
        <w:rPr>
          <w:rFonts w:hint="eastAsia"/>
          <w:sz w:val="28"/>
          <w:szCs w:val="28"/>
        </w:rPr>
        <w:t>(</w:t>
      </w:r>
      <w:r w:rsidRPr="001640EC">
        <w:rPr>
          <w:rFonts w:hint="eastAsia"/>
          <w:sz w:val="28"/>
          <w:szCs w:val="28"/>
        </w:rPr>
        <w:t>有效使用中之固定資產</w:t>
      </w:r>
      <w:proofErr w:type="gramStart"/>
      <w:r w:rsidRPr="001640EC">
        <w:rPr>
          <w:rFonts w:hint="eastAsia"/>
          <w:sz w:val="28"/>
          <w:szCs w:val="28"/>
        </w:rPr>
        <w:t>重置現值</w:t>
      </w:r>
      <w:proofErr w:type="gramEnd"/>
      <w:r w:rsidRPr="001640EC">
        <w:rPr>
          <w:rFonts w:hint="eastAsia"/>
          <w:sz w:val="28"/>
          <w:szCs w:val="28"/>
        </w:rPr>
        <w:t>＋營運資金</w:t>
      </w:r>
      <w:r w:rsidRPr="001640EC">
        <w:rPr>
          <w:rFonts w:hint="eastAsia"/>
          <w:sz w:val="28"/>
          <w:szCs w:val="28"/>
        </w:rPr>
        <w:t>)</w:t>
      </w:r>
      <w:r w:rsidRPr="001640EC">
        <w:rPr>
          <w:rFonts w:hint="eastAsia"/>
          <w:sz w:val="28"/>
          <w:szCs w:val="28"/>
        </w:rPr>
        <w:t>×</w:t>
      </w:r>
      <w:proofErr w:type="gramStart"/>
      <w:r w:rsidRPr="001640EC">
        <w:rPr>
          <w:rFonts w:hint="eastAsia"/>
          <w:sz w:val="28"/>
          <w:szCs w:val="28"/>
        </w:rPr>
        <w:t>最</w:t>
      </w:r>
      <w:proofErr w:type="gramEnd"/>
      <w:r w:rsidRPr="001640EC">
        <w:rPr>
          <w:rFonts w:hint="eastAsia"/>
          <w:sz w:val="28"/>
          <w:szCs w:val="28"/>
        </w:rPr>
        <w:t>適自</w:t>
      </w:r>
      <w:r w:rsidRPr="001640EC">
        <w:rPr>
          <w:rFonts w:hint="eastAsia"/>
          <w:sz w:val="28"/>
          <w:szCs w:val="28"/>
        </w:rPr>
        <w:lastRenderedPageBreak/>
        <w:t>有資金率</w:t>
      </w:r>
      <w:r w:rsidRPr="001640EC">
        <w:rPr>
          <w:rFonts w:hint="eastAsia"/>
          <w:sz w:val="28"/>
          <w:szCs w:val="28"/>
        </w:rPr>
        <w:t>(30%)</w:t>
      </w:r>
    </w:p>
    <w:p w:rsidR="00E73224" w:rsidRDefault="00E16CB9" w:rsidP="001640EC">
      <w:pPr>
        <w:ind w:leftChars="120" w:left="700" w:hangingChars="147" w:hanging="412"/>
        <w:rPr>
          <w:sz w:val="28"/>
          <w:szCs w:val="28"/>
        </w:rPr>
      </w:pPr>
      <w:r>
        <w:rPr>
          <w:rFonts w:hint="eastAsia"/>
          <w:sz w:val="28"/>
          <w:szCs w:val="28"/>
        </w:rPr>
        <w:t>(</w:t>
      </w:r>
      <w:r>
        <w:rPr>
          <w:rFonts w:hint="eastAsia"/>
          <w:sz w:val="28"/>
          <w:szCs w:val="28"/>
        </w:rPr>
        <w:t>二</w:t>
      </w:r>
      <w:r>
        <w:rPr>
          <w:rFonts w:hint="eastAsia"/>
          <w:sz w:val="28"/>
          <w:szCs w:val="28"/>
        </w:rPr>
        <w:t>)</w:t>
      </w:r>
      <w:r w:rsidR="00E73224" w:rsidRPr="00E73224">
        <w:rPr>
          <w:rFonts w:hint="eastAsia"/>
          <w:sz w:val="28"/>
          <w:szCs w:val="28"/>
        </w:rPr>
        <w:t>確定各業別在穩定供電及節電成效兩面向之績效指標。</w:t>
      </w:r>
      <w:r w:rsidR="00E73224">
        <w:rPr>
          <w:rFonts w:hint="eastAsia"/>
          <w:sz w:val="28"/>
          <w:szCs w:val="28"/>
        </w:rPr>
        <w:t>能源局原則上同意</w:t>
      </w:r>
      <w:r w:rsidR="00E73224">
        <w:rPr>
          <w:rFonts w:hint="eastAsia"/>
          <w:sz w:val="28"/>
          <w:szCs w:val="28"/>
        </w:rPr>
        <w:t>12</w:t>
      </w:r>
      <w:r w:rsidR="00E73224">
        <w:rPr>
          <w:rFonts w:hint="eastAsia"/>
          <w:sz w:val="28"/>
          <w:szCs w:val="28"/>
        </w:rPr>
        <w:t>項績效指標如下</w:t>
      </w:r>
      <w:r w:rsidR="00E73224">
        <w:rPr>
          <w:rFonts w:hint="eastAsia"/>
          <w:sz w:val="28"/>
          <w:szCs w:val="28"/>
        </w:rPr>
        <w:t>:</w:t>
      </w:r>
    </w:p>
    <w:tbl>
      <w:tblPr>
        <w:tblStyle w:val="a7"/>
        <w:tblW w:w="9322" w:type="dxa"/>
        <w:tblLayout w:type="fixed"/>
        <w:tblLook w:val="04A0" w:firstRow="1" w:lastRow="0" w:firstColumn="1" w:lastColumn="0" w:noHBand="0" w:noVBand="1"/>
      </w:tblPr>
      <w:tblGrid>
        <w:gridCol w:w="1809"/>
        <w:gridCol w:w="2727"/>
        <w:gridCol w:w="2518"/>
        <w:gridCol w:w="2268"/>
      </w:tblGrid>
      <w:tr w:rsidR="00E73224" w:rsidTr="00C542E4">
        <w:tc>
          <w:tcPr>
            <w:tcW w:w="1809" w:type="dxa"/>
          </w:tcPr>
          <w:p w:rsidR="00E73224" w:rsidRDefault="00E73224" w:rsidP="00E73224">
            <w:pPr>
              <w:rPr>
                <w:sz w:val="28"/>
                <w:szCs w:val="28"/>
              </w:rPr>
            </w:pPr>
          </w:p>
        </w:tc>
        <w:tc>
          <w:tcPr>
            <w:tcW w:w="2727" w:type="dxa"/>
          </w:tcPr>
          <w:p w:rsidR="00E73224" w:rsidRDefault="00E73224" w:rsidP="00E73224">
            <w:pPr>
              <w:rPr>
                <w:sz w:val="28"/>
                <w:szCs w:val="28"/>
              </w:rPr>
            </w:pPr>
            <w:r>
              <w:rPr>
                <w:rFonts w:hint="eastAsia"/>
                <w:sz w:val="28"/>
                <w:szCs w:val="28"/>
              </w:rPr>
              <w:t>發電業</w:t>
            </w:r>
          </w:p>
        </w:tc>
        <w:tc>
          <w:tcPr>
            <w:tcW w:w="2518" w:type="dxa"/>
          </w:tcPr>
          <w:p w:rsidR="00E73224" w:rsidRDefault="00E73224" w:rsidP="00E73224">
            <w:pPr>
              <w:rPr>
                <w:sz w:val="28"/>
                <w:szCs w:val="28"/>
              </w:rPr>
            </w:pPr>
            <w:r>
              <w:rPr>
                <w:rFonts w:hint="eastAsia"/>
                <w:sz w:val="28"/>
                <w:szCs w:val="28"/>
              </w:rPr>
              <w:t>輸配電業</w:t>
            </w:r>
          </w:p>
        </w:tc>
        <w:tc>
          <w:tcPr>
            <w:tcW w:w="2268" w:type="dxa"/>
          </w:tcPr>
          <w:p w:rsidR="00E73224" w:rsidRDefault="00E73224" w:rsidP="00E73224">
            <w:pPr>
              <w:rPr>
                <w:sz w:val="28"/>
                <w:szCs w:val="28"/>
              </w:rPr>
            </w:pPr>
            <w:r>
              <w:rPr>
                <w:rFonts w:hint="eastAsia"/>
                <w:sz w:val="28"/>
                <w:szCs w:val="28"/>
              </w:rPr>
              <w:t>售電業</w:t>
            </w:r>
          </w:p>
        </w:tc>
      </w:tr>
      <w:tr w:rsidR="00E73224" w:rsidTr="00C542E4">
        <w:tc>
          <w:tcPr>
            <w:tcW w:w="1809" w:type="dxa"/>
          </w:tcPr>
          <w:p w:rsidR="00E73224" w:rsidRDefault="00E73224" w:rsidP="00E16CB9">
            <w:pPr>
              <w:adjustRightInd w:val="0"/>
              <w:snapToGrid w:val="0"/>
              <w:rPr>
                <w:sz w:val="28"/>
                <w:szCs w:val="28"/>
              </w:rPr>
            </w:pPr>
            <w:r>
              <w:rPr>
                <w:rFonts w:hint="eastAsia"/>
                <w:sz w:val="28"/>
                <w:szCs w:val="28"/>
              </w:rPr>
              <w:t>穩定供電</w:t>
            </w:r>
          </w:p>
        </w:tc>
        <w:tc>
          <w:tcPr>
            <w:tcW w:w="2727" w:type="dxa"/>
          </w:tcPr>
          <w:p w:rsidR="00E73224" w:rsidRPr="00E73224" w:rsidRDefault="00E73224" w:rsidP="00E16CB9">
            <w:pPr>
              <w:adjustRightInd w:val="0"/>
              <w:snapToGrid w:val="0"/>
              <w:rPr>
                <w:sz w:val="28"/>
                <w:szCs w:val="28"/>
              </w:rPr>
            </w:pPr>
            <w:r w:rsidRPr="00E73224">
              <w:rPr>
                <w:rFonts w:hint="eastAsia"/>
                <w:sz w:val="28"/>
                <w:szCs w:val="28"/>
              </w:rPr>
              <w:t>1.</w:t>
            </w:r>
            <w:r w:rsidRPr="00E73224">
              <w:rPr>
                <w:rFonts w:hint="eastAsia"/>
                <w:sz w:val="28"/>
                <w:szCs w:val="28"/>
              </w:rPr>
              <w:t>火力機組可用率</w:t>
            </w:r>
            <w:r w:rsidRPr="00E73224">
              <w:rPr>
                <w:rFonts w:hint="eastAsia"/>
                <w:sz w:val="28"/>
                <w:szCs w:val="28"/>
              </w:rPr>
              <w:t>(%)</w:t>
            </w:r>
          </w:p>
          <w:p w:rsidR="00E73224" w:rsidRDefault="00E73224" w:rsidP="00E16CB9">
            <w:pPr>
              <w:adjustRightInd w:val="0"/>
              <w:snapToGrid w:val="0"/>
              <w:rPr>
                <w:sz w:val="28"/>
                <w:szCs w:val="28"/>
              </w:rPr>
            </w:pPr>
            <w:r w:rsidRPr="00E73224">
              <w:rPr>
                <w:rFonts w:hint="eastAsia"/>
                <w:sz w:val="28"/>
                <w:szCs w:val="28"/>
              </w:rPr>
              <w:t>2.</w:t>
            </w:r>
            <w:r w:rsidRPr="00E73224">
              <w:rPr>
                <w:rFonts w:hint="eastAsia"/>
                <w:sz w:val="28"/>
                <w:szCs w:val="28"/>
              </w:rPr>
              <w:t>維修時程逾期次數比例</w:t>
            </w:r>
            <w:r w:rsidRPr="00E73224">
              <w:rPr>
                <w:rFonts w:hint="eastAsia"/>
                <w:sz w:val="28"/>
                <w:szCs w:val="28"/>
              </w:rPr>
              <w:t>(%)</w:t>
            </w:r>
          </w:p>
        </w:tc>
        <w:tc>
          <w:tcPr>
            <w:tcW w:w="2518" w:type="dxa"/>
          </w:tcPr>
          <w:p w:rsidR="00E73224" w:rsidRPr="00E73224" w:rsidRDefault="00E73224" w:rsidP="00E16CB9">
            <w:pPr>
              <w:adjustRightInd w:val="0"/>
              <w:snapToGrid w:val="0"/>
              <w:rPr>
                <w:sz w:val="28"/>
                <w:szCs w:val="28"/>
              </w:rPr>
            </w:pPr>
            <w:r w:rsidRPr="00E73224">
              <w:rPr>
                <w:rFonts w:hint="eastAsia"/>
                <w:sz w:val="28"/>
                <w:szCs w:val="28"/>
              </w:rPr>
              <w:t>1.</w:t>
            </w:r>
            <w:r w:rsidRPr="00E73224">
              <w:rPr>
                <w:rFonts w:hint="eastAsia"/>
                <w:sz w:val="28"/>
                <w:szCs w:val="28"/>
              </w:rPr>
              <w:t>每戶平均停電時間</w:t>
            </w:r>
            <w:r w:rsidRPr="00E73224">
              <w:rPr>
                <w:rFonts w:hint="eastAsia"/>
                <w:sz w:val="28"/>
                <w:szCs w:val="28"/>
              </w:rPr>
              <w:t>(</w:t>
            </w:r>
            <w:r w:rsidRPr="00E73224">
              <w:rPr>
                <w:rFonts w:hint="eastAsia"/>
                <w:sz w:val="28"/>
                <w:szCs w:val="28"/>
              </w:rPr>
              <w:t>分</w:t>
            </w:r>
            <w:r w:rsidRPr="00E73224">
              <w:rPr>
                <w:rFonts w:hint="eastAsia"/>
                <w:sz w:val="28"/>
                <w:szCs w:val="28"/>
              </w:rPr>
              <w:t>/</w:t>
            </w:r>
            <w:r w:rsidRPr="00E73224">
              <w:rPr>
                <w:rFonts w:hint="eastAsia"/>
                <w:sz w:val="28"/>
                <w:szCs w:val="28"/>
              </w:rPr>
              <w:t>戶</w:t>
            </w:r>
            <w:r w:rsidRPr="00E73224">
              <w:rPr>
                <w:rFonts w:hint="eastAsia"/>
                <w:sz w:val="28"/>
                <w:szCs w:val="28"/>
              </w:rPr>
              <w:t>.</w:t>
            </w:r>
            <w:r w:rsidRPr="00E73224">
              <w:rPr>
                <w:rFonts w:hint="eastAsia"/>
                <w:sz w:val="28"/>
                <w:szCs w:val="28"/>
              </w:rPr>
              <w:t>年</w:t>
            </w:r>
            <w:r w:rsidRPr="00E73224">
              <w:rPr>
                <w:rFonts w:hint="eastAsia"/>
                <w:sz w:val="28"/>
                <w:szCs w:val="28"/>
              </w:rPr>
              <w:t xml:space="preserve">)  </w:t>
            </w:r>
          </w:p>
          <w:p w:rsidR="00E73224" w:rsidRDefault="00E73224" w:rsidP="00E16CB9">
            <w:pPr>
              <w:adjustRightInd w:val="0"/>
              <w:snapToGrid w:val="0"/>
              <w:rPr>
                <w:sz w:val="28"/>
                <w:szCs w:val="28"/>
              </w:rPr>
            </w:pPr>
            <w:r w:rsidRPr="00E73224">
              <w:rPr>
                <w:rFonts w:hint="eastAsia"/>
                <w:sz w:val="28"/>
                <w:szCs w:val="28"/>
              </w:rPr>
              <w:t>2.</w:t>
            </w:r>
            <w:r w:rsidRPr="00E73224">
              <w:rPr>
                <w:rFonts w:hint="eastAsia"/>
                <w:sz w:val="28"/>
                <w:szCs w:val="28"/>
              </w:rPr>
              <w:t>每戶平均停電次數</w:t>
            </w:r>
            <w:r w:rsidRPr="00E73224">
              <w:rPr>
                <w:rFonts w:hint="eastAsia"/>
                <w:sz w:val="28"/>
                <w:szCs w:val="28"/>
              </w:rPr>
              <w:t>(</w:t>
            </w:r>
            <w:r w:rsidRPr="00E73224">
              <w:rPr>
                <w:rFonts w:hint="eastAsia"/>
                <w:sz w:val="28"/>
                <w:szCs w:val="28"/>
              </w:rPr>
              <w:t>次</w:t>
            </w:r>
            <w:r w:rsidRPr="00E73224">
              <w:rPr>
                <w:rFonts w:hint="eastAsia"/>
                <w:sz w:val="28"/>
                <w:szCs w:val="28"/>
              </w:rPr>
              <w:t>/</w:t>
            </w:r>
            <w:r w:rsidRPr="00E73224">
              <w:rPr>
                <w:rFonts w:hint="eastAsia"/>
                <w:sz w:val="28"/>
                <w:szCs w:val="28"/>
              </w:rPr>
              <w:t>戶</w:t>
            </w:r>
            <w:r w:rsidRPr="00E73224">
              <w:rPr>
                <w:rFonts w:hint="eastAsia"/>
                <w:sz w:val="28"/>
                <w:szCs w:val="28"/>
              </w:rPr>
              <w:t>.</w:t>
            </w:r>
            <w:r w:rsidRPr="00E73224">
              <w:rPr>
                <w:rFonts w:hint="eastAsia"/>
                <w:sz w:val="28"/>
                <w:szCs w:val="28"/>
              </w:rPr>
              <w:t>年</w:t>
            </w:r>
            <w:r w:rsidRPr="00E73224">
              <w:rPr>
                <w:rFonts w:hint="eastAsia"/>
                <w:sz w:val="28"/>
                <w:szCs w:val="28"/>
              </w:rPr>
              <w:t>)</w:t>
            </w:r>
          </w:p>
        </w:tc>
        <w:tc>
          <w:tcPr>
            <w:tcW w:w="2268" w:type="dxa"/>
          </w:tcPr>
          <w:p w:rsidR="00E73224" w:rsidRPr="00E73224" w:rsidRDefault="00E73224" w:rsidP="00E16CB9">
            <w:pPr>
              <w:adjustRightInd w:val="0"/>
              <w:snapToGrid w:val="0"/>
              <w:rPr>
                <w:sz w:val="28"/>
                <w:szCs w:val="28"/>
              </w:rPr>
            </w:pPr>
            <w:r w:rsidRPr="00E73224">
              <w:rPr>
                <w:rFonts w:hint="eastAsia"/>
                <w:sz w:val="28"/>
                <w:szCs w:val="28"/>
              </w:rPr>
              <w:t>1.</w:t>
            </w:r>
            <w:r w:rsidRPr="00E73224">
              <w:rPr>
                <w:rFonts w:hint="eastAsia"/>
                <w:sz w:val="28"/>
                <w:szCs w:val="28"/>
              </w:rPr>
              <w:t>備用容量達成率</w:t>
            </w:r>
            <w:r w:rsidRPr="00E73224">
              <w:rPr>
                <w:rFonts w:hint="eastAsia"/>
                <w:sz w:val="28"/>
                <w:szCs w:val="28"/>
              </w:rPr>
              <w:t>(%)</w:t>
            </w:r>
          </w:p>
          <w:p w:rsidR="00E73224" w:rsidRPr="00E16CB9" w:rsidRDefault="00E73224" w:rsidP="00E16CB9">
            <w:pPr>
              <w:adjustRightInd w:val="0"/>
              <w:snapToGrid w:val="0"/>
              <w:rPr>
                <w:sz w:val="28"/>
                <w:szCs w:val="28"/>
              </w:rPr>
            </w:pPr>
            <w:r w:rsidRPr="00E73224">
              <w:rPr>
                <w:rFonts w:hint="eastAsia"/>
                <w:sz w:val="28"/>
                <w:szCs w:val="28"/>
              </w:rPr>
              <w:t>2.</w:t>
            </w:r>
            <w:proofErr w:type="gramStart"/>
            <w:r w:rsidRPr="00E73224">
              <w:rPr>
                <w:rFonts w:hint="eastAsia"/>
                <w:sz w:val="28"/>
                <w:szCs w:val="28"/>
              </w:rPr>
              <w:t>需量競價</w:t>
            </w:r>
            <w:proofErr w:type="gramEnd"/>
            <w:r w:rsidRPr="00E73224">
              <w:rPr>
                <w:rFonts w:hint="eastAsia"/>
                <w:sz w:val="28"/>
                <w:szCs w:val="28"/>
              </w:rPr>
              <w:t>申請抑低容量</w:t>
            </w:r>
            <w:r w:rsidRPr="00E73224">
              <w:rPr>
                <w:rFonts w:hint="eastAsia"/>
                <w:sz w:val="28"/>
                <w:szCs w:val="28"/>
              </w:rPr>
              <w:t>(</w:t>
            </w:r>
            <w:r w:rsidRPr="00E73224">
              <w:rPr>
                <w:rFonts w:hint="eastAsia"/>
                <w:sz w:val="28"/>
                <w:szCs w:val="28"/>
              </w:rPr>
              <w:t>萬</w:t>
            </w:r>
            <w:proofErr w:type="gramStart"/>
            <w:r w:rsidRPr="00E73224">
              <w:rPr>
                <w:rFonts w:hint="eastAsia"/>
                <w:sz w:val="28"/>
                <w:szCs w:val="28"/>
              </w:rPr>
              <w:t>瓩</w:t>
            </w:r>
            <w:proofErr w:type="gramEnd"/>
            <w:r w:rsidRPr="00E73224">
              <w:rPr>
                <w:rFonts w:hint="eastAsia"/>
                <w:sz w:val="28"/>
                <w:szCs w:val="28"/>
              </w:rPr>
              <w:t>)</w:t>
            </w:r>
          </w:p>
        </w:tc>
      </w:tr>
      <w:tr w:rsidR="00E73224" w:rsidTr="00C542E4">
        <w:tc>
          <w:tcPr>
            <w:tcW w:w="1809" w:type="dxa"/>
          </w:tcPr>
          <w:p w:rsidR="00E73224" w:rsidRDefault="00E73224" w:rsidP="00E16CB9">
            <w:pPr>
              <w:adjustRightInd w:val="0"/>
              <w:snapToGrid w:val="0"/>
              <w:rPr>
                <w:sz w:val="28"/>
                <w:szCs w:val="28"/>
              </w:rPr>
            </w:pPr>
            <w:r>
              <w:rPr>
                <w:rFonts w:hint="eastAsia"/>
                <w:sz w:val="28"/>
                <w:szCs w:val="28"/>
              </w:rPr>
              <w:t>節電成效</w:t>
            </w:r>
          </w:p>
        </w:tc>
        <w:tc>
          <w:tcPr>
            <w:tcW w:w="2727" w:type="dxa"/>
          </w:tcPr>
          <w:p w:rsidR="00E73224" w:rsidRPr="00E73224" w:rsidRDefault="00E73224" w:rsidP="00E16CB9">
            <w:pPr>
              <w:adjustRightInd w:val="0"/>
              <w:snapToGrid w:val="0"/>
              <w:rPr>
                <w:sz w:val="28"/>
                <w:szCs w:val="28"/>
              </w:rPr>
            </w:pPr>
            <w:r w:rsidRPr="00E73224">
              <w:rPr>
                <w:rFonts w:hint="eastAsia"/>
                <w:sz w:val="28"/>
                <w:szCs w:val="28"/>
              </w:rPr>
              <w:t>1.</w:t>
            </w:r>
            <w:r w:rsidRPr="00E73224">
              <w:rPr>
                <w:rFonts w:hint="eastAsia"/>
                <w:sz w:val="28"/>
                <w:szCs w:val="28"/>
              </w:rPr>
              <w:t>燃煤機組</w:t>
            </w:r>
            <w:proofErr w:type="gramStart"/>
            <w:r w:rsidRPr="00E73224">
              <w:rPr>
                <w:rFonts w:hint="eastAsia"/>
                <w:sz w:val="28"/>
                <w:szCs w:val="28"/>
              </w:rPr>
              <w:t>熱耗率</w:t>
            </w:r>
            <w:proofErr w:type="gramEnd"/>
            <w:r w:rsidRPr="00E73224">
              <w:rPr>
                <w:rFonts w:hint="eastAsia"/>
                <w:sz w:val="28"/>
                <w:szCs w:val="28"/>
              </w:rPr>
              <w:t xml:space="preserve">  (kcal/kWh)</w:t>
            </w:r>
          </w:p>
          <w:p w:rsidR="00E73224" w:rsidRDefault="00E73224" w:rsidP="00E16CB9">
            <w:pPr>
              <w:adjustRightInd w:val="0"/>
              <w:snapToGrid w:val="0"/>
              <w:rPr>
                <w:sz w:val="28"/>
                <w:szCs w:val="28"/>
              </w:rPr>
            </w:pPr>
            <w:r w:rsidRPr="00E73224">
              <w:rPr>
                <w:rFonts w:hint="eastAsia"/>
                <w:sz w:val="28"/>
                <w:szCs w:val="28"/>
              </w:rPr>
              <w:t>2.</w:t>
            </w:r>
            <w:r w:rsidRPr="00E73224">
              <w:rPr>
                <w:rFonts w:hint="eastAsia"/>
                <w:sz w:val="28"/>
                <w:szCs w:val="28"/>
              </w:rPr>
              <w:t>燃氣</w:t>
            </w:r>
            <w:proofErr w:type="gramStart"/>
            <w:r w:rsidRPr="00E73224">
              <w:rPr>
                <w:rFonts w:hint="eastAsia"/>
                <w:sz w:val="28"/>
                <w:szCs w:val="28"/>
              </w:rPr>
              <w:t>複</w:t>
            </w:r>
            <w:proofErr w:type="gramEnd"/>
            <w:r w:rsidRPr="00E73224">
              <w:rPr>
                <w:rFonts w:hint="eastAsia"/>
                <w:sz w:val="28"/>
                <w:szCs w:val="28"/>
              </w:rPr>
              <w:t>循環機組</w:t>
            </w:r>
            <w:proofErr w:type="gramStart"/>
            <w:r w:rsidRPr="00E73224">
              <w:rPr>
                <w:rFonts w:hint="eastAsia"/>
                <w:sz w:val="28"/>
                <w:szCs w:val="28"/>
              </w:rPr>
              <w:t>熱耗率</w:t>
            </w:r>
            <w:proofErr w:type="gramEnd"/>
            <w:r w:rsidRPr="00E73224">
              <w:rPr>
                <w:rFonts w:hint="eastAsia"/>
                <w:sz w:val="28"/>
                <w:szCs w:val="28"/>
              </w:rPr>
              <w:t>(kcal/kWh)</w:t>
            </w:r>
          </w:p>
        </w:tc>
        <w:tc>
          <w:tcPr>
            <w:tcW w:w="2518" w:type="dxa"/>
          </w:tcPr>
          <w:p w:rsidR="00E73224" w:rsidRPr="00E73224" w:rsidRDefault="00E73224" w:rsidP="00E16CB9">
            <w:pPr>
              <w:adjustRightInd w:val="0"/>
              <w:snapToGrid w:val="0"/>
              <w:rPr>
                <w:sz w:val="28"/>
                <w:szCs w:val="28"/>
              </w:rPr>
            </w:pPr>
            <w:r w:rsidRPr="00E73224">
              <w:rPr>
                <w:rFonts w:hint="eastAsia"/>
                <w:sz w:val="28"/>
                <w:szCs w:val="28"/>
              </w:rPr>
              <w:t>1.</w:t>
            </w:r>
            <w:r w:rsidRPr="00E73224">
              <w:rPr>
                <w:rFonts w:hint="eastAsia"/>
                <w:sz w:val="28"/>
                <w:szCs w:val="28"/>
              </w:rPr>
              <w:t>線路損失率</w:t>
            </w:r>
            <w:r w:rsidRPr="00E73224">
              <w:rPr>
                <w:rFonts w:hint="eastAsia"/>
                <w:sz w:val="28"/>
                <w:szCs w:val="28"/>
              </w:rPr>
              <w:t>(%)</w:t>
            </w:r>
          </w:p>
          <w:p w:rsidR="00E73224" w:rsidRPr="00E73224" w:rsidRDefault="00E73224" w:rsidP="00E16CB9">
            <w:pPr>
              <w:adjustRightInd w:val="0"/>
              <w:snapToGrid w:val="0"/>
              <w:rPr>
                <w:sz w:val="28"/>
                <w:szCs w:val="28"/>
              </w:rPr>
            </w:pPr>
            <w:r w:rsidRPr="00E73224">
              <w:rPr>
                <w:rFonts w:hint="eastAsia"/>
                <w:sz w:val="28"/>
                <w:szCs w:val="28"/>
              </w:rPr>
              <w:t>2.</w:t>
            </w:r>
            <w:r w:rsidRPr="00E73224">
              <w:rPr>
                <w:rFonts w:hint="eastAsia"/>
                <w:sz w:val="28"/>
                <w:szCs w:val="28"/>
              </w:rPr>
              <w:t>調度績效</w:t>
            </w:r>
            <w:r w:rsidRPr="00E73224">
              <w:rPr>
                <w:rFonts w:hint="eastAsia"/>
                <w:sz w:val="28"/>
                <w:szCs w:val="28"/>
              </w:rPr>
              <w:t>(</w:t>
            </w:r>
            <w:r w:rsidRPr="00E73224">
              <w:rPr>
                <w:rFonts w:hint="eastAsia"/>
                <w:sz w:val="28"/>
                <w:szCs w:val="28"/>
              </w:rPr>
              <w:t>元</w:t>
            </w:r>
            <w:r w:rsidRPr="00E73224">
              <w:rPr>
                <w:rFonts w:hint="eastAsia"/>
                <w:sz w:val="28"/>
                <w:szCs w:val="28"/>
              </w:rPr>
              <w:t>/</w:t>
            </w:r>
            <w:r w:rsidRPr="00E73224">
              <w:rPr>
                <w:rFonts w:hint="eastAsia"/>
                <w:sz w:val="28"/>
                <w:szCs w:val="28"/>
              </w:rPr>
              <w:t>度</w:t>
            </w:r>
            <w:r w:rsidR="00C542E4">
              <w:rPr>
                <w:rFonts w:hint="eastAsia"/>
                <w:sz w:val="28"/>
                <w:szCs w:val="28"/>
              </w:rPr>
              <w:t>)</w:t>
            </w:r>
          </w:p>
        </w:tc>
        <w:tc>
          <w:tcPr>
            <w:tcW w:w="2268" w:type="dxa"/>
          </w:tcPr>
          <w:p w:rsidR="00E73224" w:rsidRPr="00E73224" w:rsidRDefault="00E73224" w:rsidP="00E16CB9">
            <w:pPr>
              <w:adjustRightInd w:val="0"/>
              <w:snapToGrid w:val="0"/>
              <w:rPr>
                <w:sz w:val="28"/>
                <w:szCs w:val="28"/>
              </w:rPr>
            </w:pPr>
            <w:r w:rsidRPr="00E73224">
              <w:rPr>
                <w:rFonts w:hint="eastAsia"/>
                <w:sz w:val="28"/>
                <w:szCs w:val="28"/>
              </w:rPr>
              <w:t>1.</w:t>
            </w:r>
            <w:proofErr w:type="gramStart"/>
            <w:r w:rsidRPr="00E73224">
              <w:rPr>
                <w:rFonts w:hint="eastAsia"/>
                <w:sz w:val="28"/>
                <w:szCs w:val="28"/>
              </w:rPr>
              <w:t>電力排碳係數</w:t>
            </w:r>
            <w:proofErr w:type="gramEnd"/>
            <w:r w:rsidRPr="00E73224">
              <w:rPr>
                <w:rFonts w:hint="eastAsia"/>
                <w:sz w:val="28"/>
                <w:szCs w:val="28"/>
              </w:rPr>
              <w:t>達成率</w:t>
            </w:r>
            <w:r w:rsidRPr="00E73224">
              <w:rPr>
                <w:rFonts w:hint="eastAsia"/>
                <w:sz w:val="28"/>
                <w:szCs w:val="28"/>
              </w:rPr>
              <w:t>(%)</w:t>
            </w:r>
          </w:p>
          <w:p w:rsidR="00E73224" w:rsidRPr="00E73224" w:rsidRDefault="00E73224" w:rsidP="00E16CB9">
            <w:pPr>
              <w:adjustRightInd w:val="0"/>
              <w:snapToGrid w:val="0"/>
              <w:rPr>
                <w:sz w:val="28"/>
                <w:szCs w:val="28"/>
              </w:rPr>
            </w:pPr>
            <w:r w:rsidRPr="00E73224">
              <w:rPr>
                <w:rFonts w:hint="eastAsia"/>
                <w:sz w:val="28"/>
                <w:szCs w:val="28"/>
              </w:rPr>
              <w:t>2.</w:t>
            </w:r>
            <w:r w:rsidRPr="00E73224">
              <w:rPr>
                <w:rFonts w:hint="eastAsia"/>
                <w:sz w:val="28"/>
                <w:szCs w:val="28"/>
              </w:rPr>
              <w:t>節電計畫達成率</w:t>
            </w:r>
            <w:r w:rsidRPr="00E73224">
              <w:rPr>
                <w:rFonts w:hint="eastAsia"/>
                <w:sz w:val="28"/>
                <w:szCs w:val="28"/>
              </w:rPr>
              <w:t>(%)</w:t>
            </w:r>
          </w:p>
        </w:tc>
      </w:tr>
    </w:tbl>
    <w:p w:rsidR="00E16CB9" w:rsidRDefault="00E16CB9" w:rsidP="001640EC">
      <w:pPr>
        <w:ind w:leftChars="120" w:left="700" w:hangingChars="147" w:hanging="412"/>
        <w:rPr>
          <w:sz w:val="28"/>
          <w:szCs w:val="28"/>
        </w:rPr>
      </w:pPr>
      <w:r>
        <w:rPr>
          <w:rFonts w:hint="eastAsia"/>
          <w:sz w:val="28"/>
          <w:szCs w:val="28"/>
        </w:rPr>
        <w:t>(</w:t>
      </w:r>
      <w:r>
        <w:rPr>
          <w:rFonts w:hint="eastAsia"/>
          <w:sz w:val="28"/>
          <w:szCs w:val="28"/>
        </w:rPr>
        <w:t>三</w:t>
      </w:r>
      <w:r>
        <w:rPr>
          <w:rFonts w:hint="eastAsia"/>
          <w:sz w:val="28"/>
          <w:szCs w:val="28"/>
        </w:rPr>
        <w:t>)</w:t>
      </w:r>
      <w:r w:rsidR="00E73224" w:rsidRPr="00E73224">
        <w:rPr>
          <w:rFonts w:hint="eastAsia"/>
          <w:sz w:val="28"/>
          <w:szCs w:val="28"/>
        </w:rPr>
        <w:t>能源局規劃近日向行政院政委報告後，再召開公開說明會。</w:t>
      </w:r>
    </w:p>
    <w:p w:rsidR="001640EC" w:rsidRDefault="001640EC" w:rsidP="001640EC">
      <w:pPr>
        <w:ind w:leftChars="120" w:left="700" w:hangingChars="147" w:hanging="412"/>
        <w:rPr>
          <w:sz w:val="28"/>
          <w:szCs w:val="28"/>
        </w:rPr>
      </w:pPr>
    </w:p>
    <w:p w:rsidR="00E16CB9" w:rsidRPr="004A23BB" w:rsidRDefault="00E16CB9" w:rsidP="004A23BB">
      <w:pPr>
        <w:ind w:left="560" w:hangingChars="200" w:hanging="560"/>
        <w:rPr>
          <w:rFonts w:hint="eastAsia"/>
          <w:bCs/>
          <w:sz w:val="32"/>
          <w:szCs w:val="32"/>
        </w:rPr>
      </w:pPr>
      <w:r w:rsidRPr="004A23BB">
        <w:rPr>
          <w:rFonts w:hint="eastAsia"/>
          <w:sz w:val="28"/>
          <w:szCs w:val="28"/>
        </w:rPr>
        <w:t>三、</w:t>
      </w:r>
      <w:r w:rsidRPr="004A23BB">
        <w:rPr>
          <w:rFonts w:hint="eastAsia"/>
          <w:bCs/>
          <w:sz w:val="32"/>
          <w:szCs w:val="32"/>
        </w:rPr>
        <w:t>目前國營會係本公司經營績效之考核單位，將來審核本公司經營績效</w:t>
      </w:r>
      <w:r w:rsidR="00C542E4" w:rsidRPr="004A23BB">
        <w:rPr>
          <w:rFonts w:hint="eastAsia"/>
          <w:bCs/>
          <w:sz w:val="32"/>
          <w:szCs w:val="32"/>
        </w:rPr>
        <w:t>之</w:t>
      </w:r>
      <w:r w:rsidRPr="004A23BB">
        <w:rPr>
          <w:rFonts w:hint="eastAsia"/>
          <w:bCs/>
          <w:sz w:val="32"/>
          <w:szCs w:val="32"/>
        </w:rPr>
        <w:t>指標是否會與能源局要求之績效指標有所重疊或衝突，李鴻洲副總已要求企劃處再予澄清。</w:t>
      </w:r>
    </w:p>
    <w:p w:rsidR="00B80EB0" w:rsidRPr="004A23BB" w:rsidRDefault="00B80EB0" w:rsidP="004A23BB">
      <w:pPr>
        <w:ind w:left="560" w:hangingChars="200" w:hanging="560"/>
        <w:rPr>
          <w:sz w:val="28"/>
          <w:szCs w:val="28"/>
        </w:rPr>
      </w:pPr>
      <w:r w:rsidRPr="004A23BB">
        <w:rPr>
          <w:rFonts w:hint="eastAsia"/>
          <w:sz w:val="28"/>
          <w:szCs w:val="28"/>
        </w:rPr>
        <w:t>四、以上均未完全定案，相關細節亦待確定，本會將密切關注，以維同仁權益。</w:t>
      </w:r>
      <w:bookmarkStart w:id="0" w:name="_GoBack"/>
      <w:bookmarkEnd w:id="0"/>
    </w:p>
    <w:sectPr w:rsidR="00B80EB0" w:rsidRPr="004A23BB" w:rsidSect="00C542E4">
      <w:pgSz w:w="11906" w:h="16838"/>
      <w:pgMar w:top="1134" w:right="1418" w:bottom="1134" w:left="1418"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0A9B" w:rsidRDefault="005C0A9B" w:rsidP="00F96568">
      <w:r>
        <w:separator/>
      </w:r>
    </w:p>
  </w:endnote>
  <w:endnote w:type="continuationSeparator" w:id="0">
    <w:p w:rsidR="005C0A9B" w:rsidRDefault="005C0A9B" w:rsidP="00F965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0A9B" w:rsidRDefault="005C0A9B" w:rsidP="00F96568">
      <w:r>
        <w:separator/>
      </w:r>
    </w:p>
  </w:footnote>
  <w:footnote w:type="continuationSeparator" w:id="0">
    <w:p w:rsidR="005C0A9B" w:rsidRDefault="005C0A9B" w:rsidP="00F9656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7C43"/>
    <w:rsid w:val="00136BE7"/>
    <w:rsid w:val="001640EC"/>
    <w:rsid w:val="004A23BB"/>
    <w:rsid w:val="004A3553"/>
    <w:rsid w:val="005C0A9B"/>
    <w:rsid w:val="006272FC"/>
    <w:rsid w:val="00867C43"/>
    <w:rsid w:val="00972649"/>
    <w:rsid w:val="00B60634"/>
    <w:rsid w:val="00B7466B"/>
    <w:rsid w:val="00B80EB0"/>
    <w:rsid w:val="00C542E4"/>
    <w:rsid w:val="00E0524F"/>
    <w:rsid w:val="00E16CB9"/>
    <w:rsid w:val="00E73224"/>
    <w:rsid w:val="00F9656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96568"/>
    <w:pPr>
      <w:tabs>
        <w:tab w:val="center" w:pos="4153"/>
        <w:tab w:val="right" w:pos="8306"/>
      </w:tabs>
      <w:snapToGrid w:val="0"/>
    </w:pPr>
    <w:rPr>
      <w:sz w:val="20"/>
      <w:szCs w:val="20"/>
    </w:rPr>
  </w:style>
  <w:style w:type="character" w:customStyle="1" w:styleId="a4">
    <w:name w:val="頁首 字元"/>
    <w:basedOn w:val="a0"/>
    <w:link w:val="a3"/>
    <w:uiPriority w:val="99"/>
    <w:rsid w:val="00F96568"/>
    <w:rPr>
      <w:sz w:val="20"/>
      <w:szCs w:val="20"/>
    </w:rPr>
  </w:style>
  <w:style w:type="paragraph" w:styleId="a5">
    <w:name w:val="footer"/>
    <w:basedOn w:val="a"/>
    <w:link w:val="a6"/>
    <w:uiPriority w:val="99"/>
    <w:unhideWhenUsed/>
    <w:rsid w:val="00F96568"/>
    <w:pPr>
      <w:tabs>
        <w:tab w:val="center" w:pos="4153"/>
        <w:tab w:val="right" w:pos="8306"/>
      </w:tabs>
      <w:snapToGrid w:val="0"/>
    </w:pPr>
    <w:rPr>
      <w:sz w:val="20"/>
      <w:szCs w:val="20"/>
    </w:rPr>
  </w:style>
  <w:style w:type="character" w:customStyle="1" w:styleId="a6">
    <w:name w:val="頁尾 字元"/>
    <w:basedOn w:val="a0"/>
    <w:link w:val="a5"/>
    <w:uiPriority w:val="99"/>
    <w:rsid w:val="00F96568"/>
    <w:rPr>
      <w:sz w:val="20"/>
      <w:szCs w:val="20"/>
    </w:rPr>
  </w:style>
  <w:style w:type="paragraph" w:styleId="Web">
    <w:name w:val="Normal (Web)"/>
    <w:basedOn w:val="a"/>
    <w:uiPriority w:val="99"/>
    <w:semiHidden/>
    <w:unhideWhenUsed/>
    <w:rsid w:val="00E73224"/>
    <w:pPr>
      <w:widowControl/>
      <w:spacing w:before="100" w:beforeAutospacing="1" w:after="100" w:afterAutospacing="1"/>
    </w:pPr>
    <w:rPr>
      <w:rFonts w:ascii="新細明體" w:eastAsia="新細明體" w:hAnsi="新細明體" w:cs="新細明體"/>
      <w:kern w:val="0"/>
      <w:szCs w:val="24"/>
    </w:rPr>
  </w:style>
  <w:style w:type="table" w:styleId="a7">
    <w:name w:val="Table Grid"/>
    <w:basedOn w:val="a1"/>
    <w:uiPriority w:val="59"/>
    <w:rsid w:val="00E732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96568"/>
    <w:pPr>
      <w:tabs>
        <w:tab w:val="center" w:pos="4153"/>
        <w:tab w:val="right" w:pos="8306"/>
      </w:tabs>
      <w:snapToGrid w:val="0"/>
    </w:pPr>
    <w:rPr>
      <w:sz w:val="20"/>
      <w:szCs w:val="20"/>
    </w:rPr>
  </w:style>
  <w:style w:type="character" w:customStyle="1" w:styleId="a4">
    <w:name w:val="頁首 字元"/>
    <w:basedOn w:val="a0"/>
    <w:link w:val="a3"/>
    <w:uiPriority w:val="99"/>
    <w:rsid w:val="00F96568"/>
    <w:rPr>
      <w:sz w:val="20"/>
      <w:szCs w:val="20"/>
    </w:rPr>
  </w:style>
  <w:style w:type="paragraph" w:styleId="a5">
    <w:name w:val="footer"/>
    <w:basedOn w:val="a"/>
    <w:link w:val="a6"/>
    <w:uiPriority w:val="99"/>
    <w:unhideWhenUsed/>
    <w:rsid w:val="00F96568"/>
    <w:pPr>
      <w:tabs>
        <w:tab w:val="center" w:pos="4153"/>
        <w:tab w:val="right" w:pos="8306"/>
      </w:tabs>
      <w:snapToGrid w:val="0"/>
    </w:pPr>
    <w:rPr>
      <w:sz w:val="20"/>
      <w:szCs w:val="20"/>
    </w:rPr>
  </w:style>
  <w:style w:type="character" w:customStyle="1" w:styleId="a6">
    <w:name w:val="頁尾 字元"/>
    <w:basedOn w:val="a0"/>
    <w:link w:val="a5"/>
    <w:uiPriority w:val="99"/>
    <w:rsid w:val="00F96568"/>
    <w:rPr>
      <w:sz w:val="20"/>
      <w:szCs w:val="20"/>
    </w:rPr>
  </w:style>
  <w:style w:type="paragraph" w:styleId="Web">
    <w:name w:val="Normal (Web)"/>
    <w:basedOn w:val="a"/>
    <w:uiPriority w:val="99"/>
    <w:semiHidden/>
    <w:unhideWhenUsed/>
    <w:rsid w:val="00E73224"/>
    <w:pPr>
      <w:widowControl/>
      <w:spacing w:before="100" w:beforeAutospacing="1" w:after="100" w:afterAutospacing="1"/>
    </w:pPr>
    <w:rPr>
      <w:rFonts w:ascii="新細明體" w:eastAsia="新細明體" w:hAnsi="新細明體" w:cs="新細明體"/>
      <w:kern w:val="0"/>
      <w:szCs w:val="24"/>
    </w:rPr>
  </w:style>
  <w:style w:type="table" w:styleId="a7">
    <w:name w:val="Table Grid"/>
    <w:basedOn w:val="a1"/>
    <w:uiPriority w:val="59"/>
    <w:rsid w:val="00E732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59383">
      <w:bodyDiv w:val="1"/>
      <w:marLeft w:val="0"/>
      <w:marRight w:val="0"/>
      <w:marTop w:val="0"/>
      <w:marBottom w:val="0"/>
      <w:divBdr>
        <w:top w:val="none" w:sz="0" w:space="0" w:color="auto"/>
        <w:left w:val="none" w:sz="0" w:space="0" w:color="auto"/>
        <w:bottom w:val="none" w:sz="0" w:space="0" w:color="auto"/>
        <w:right w:val="none" w:sz="0" w:space="0" w:color="auto"/>
      </w:divBdr>
      <w:divsChild>
        <w:div w:id="263928150">
          <w:marLeft w:val="547"/>
          <w:marRight w:val="0"/>
          <w:marTop w:val="120"/>
          <w:marBottom w:val="120"/>
          <w:divBdr>
            <w:top w:val="none" w:sz="0" w:space="0" w:color="auto"/>
            <w:left w:val="none" w:sz="0" w:space="0" w:color="auto"/>
            <w:bottom w:val="none" w:sz="0" w:space="0" w:color="auto"/>
            <w:right w:val="none" w:sz="0" w:space="0" w:color="auto"/>
          </w:divBdr>
        </w:div>
        <w:div w:id="619844766">
          <w:marLeft w:val="547"/>
          <w:marRight w:val="0"/>
          <w:marTop w:val="120"/>
          <w:marBottom w:val="120"/>
          <w:divBdr>
            <w:top w:val="none" w:sz="0" w:space="0" w:color="auto"/>
            <w:left w:val="none" w:sz="0" w:space="0" w:color="auto"/>
            <w:bottom w:val="none" w:sz="0" w:space="0" w:color="auto"/>
            <w:right w:val="none" w:sz="0" w:space="0" w:color="auto"/>
          </w:divBdr>
        </w:div>
        <w:div w:id="1162042985">
          <w:marLeft w:val="547"/>
          <w:marRight w:val="0"/>
          <w:marTop w:val="120"/>
          <w:marBottom w:val="120"/>
          <w:divBdr>
            <w:top w:val="none" w:sz="0" w:space="0" w:color="auto"/>
            <w:left w:val="none" w:sz="0" w:space="0" w:color="auto"/>
            <w:bottom w:val="none" w:sz="0" w:space="0" w:color="auto"/>
            <w:right w:val="none" w:sz="0" w:space="0" w:color="auto"/>
          </w:divBdr>
        </w:div>
      </w:divsChild>
    </w:div>
    <w:div w:id="112673513">
      <w:bodyDiv w:val="1"/>
      <w:marLeft w:val="0"/>
      <w:marRight w:val="0"/>
      <w:marTop w:val="0"/>
      <w:marBottom w:val="0"/>
      <w:divBdr>
        <w:top w:val="none" w:sz="0" w:space="0" w:color="auto"/>
        <w:left w:val="none" w:sz="0" w:space="0" w:color="auto"/>
        <w:bottom w:val="none" w:sz="0" w:space="0" w:color="auto"/>
        <w:right w:val="none" w:sz="0" w:space="0" w:color="auto"/>
      </w:divBdr>
    </w:div>
    <w:div w:id="277184151">
      <w:bodyDiv w:val="1"/>
      <w:marLeft w:val="0"/>
      <w:marRight w:val="0"/>
      <w:marTop w:val="0"/>
      <w:marBottom w:val="0"/>
      <w:divBdr>
        <w:top w:val="none" w:sz="0" w:space="0" w:color="auto"/>
        <w:left w:val="none" w:sz="0" w:space="0" w:color="auto"/>
        <w:bottom w:val="none" w:sz="0" w:space="0" w:color="auto"/>
        <w:right w:val="none" w:sz="0" w:space="0" w:color="auto"/>
      </w:divBdr>
    </w:div>
    <w:div w:id="277220318">
      <w:bodyDiv w:val="1"/>
      <w:marLeft w:val="0"/>
      <w:marRight w:val="0"/>
      <w:marTop w:val="0"/>
      <w:marBottom w:val="0"/>
      <w:divBdr>
        <w:top w:val="none" w:sz="0" w:space="0" w:color="auto"/>
        <w:left w:val="none" w:sz="0" w:space="0" w:color="auto"/>
        <w:bottom w:val="none" w:sz="0" w:space="0" w:color="auto"/>
        <w:right w:val="none" w:sz="0" w:space="0" w:color="auto"/>
      </w:divBdr>
    </w:div>
    <w:div w:id="759567335">
      <w:bodyDiv w:val="1"/>
      <w:marLeft w:val="0"/>
      <w:marRight w:val="0"/>
      <w:marTop w:val="0"/>
      <w:marBottom w:val="0"/>
      <w:divBdr>
        <w:top w:val="none" w:sz="0" w:space="0" w:color="auto"/>
        <w:left w:val="none" w:sz="0" w:space="0" w:color="auto"/>
        <w:bottom w:val="none" w:sz="0" w:space="0" w:color="auto"/>
        <w:right w:val="none" w:sz="0" w:space="0" w:color="auto"/>
      </w:divBdr>
    </w:div>
    <w:div w:id="1895502489">
      <w:bodyDiv w:val="1"/>
      <w:marLeft w:val="0"/>
      <w:marRight w:val="0"/>
      <w:marTop w:val="0"/>
      <w:marBottom w:val="0"/>
      <w:divBdr>
        <w:top w:val="none" w:sz="0" w:space="0" w:color="auto"/>
        <w:left w:val="none" w:sz="0" w:space="0" w:color="auto"/>
        <w:bottom w:val="none" w:sz="0" w:space="0" w:color="auto"/>
        <w:right w:val="none" w:sz="0" w:space="0" w:color="auto"/>
      </w:divBdr>
    </w:div>
    <w:div w:id="2040011416">
      <w:bodyDiv w:val="1"/>
      <w:marLeft w:val="0"/>
      <w:marRight w:val="0"/>
      <w:marTop w:val="0"/>
      <w:marBottom w:val="0"/>
      <w:divBdr>
        <w:top w:val="none" w:sz="0" w:space="0" w:color="auto"/>
        <w:left w:val="none" w:sz="0" w:space="0" w:color="auto"/>
        <w:bottom w:val="none" w:sz="0" w:space="0" w:color="auto"/>
        <w:right w:val="none" w:sz="0" w:space="0" w:color="auto"/>
      </w:divBdr>
      <w:divsChild>
        <w:div w:id="351955330">
          <w:marLeft w:val="547"/>
          <w:marRight w:val="0"/>
          <w:marTop w:val="120"/>
          <w:marBottom w:val="120"/>
          <w:divBdr>
            <w:top w:val="none" w:sz="0" w:space="0" w:color="auto"/>
            <w:left w:val="none" w:sz="0" w:space="0" w:color="auto"/>
            <w:bottom w:val="none" w:sz="0" w:space="0" w:color="auto"/>
            <w:right w:val="none" w:sz="0" w:space="0" w:color="auto"/>
          </w:divBdr>
        </w:div>
        <w:div w:id="2054230936">
          <w:marLeft w:val="547"/>
          <w:marRight w:val="0"/>
          <w:marTop w:val="120"/>
          <w:marBottom w:val="120"/>
          <w:divBdr>
            <w:top w:val="none" w:sz="0" w:space="0" w:color="auto"/>
            <w:left w:val="none" w:sz="0" w:space="0" w:color="auto"/>
            <w:bottom w:val="none" w:sz="0" w:space="0" w:color="auto"/>
            <w:right w:val="none" w:sz="0" w:space="0" w:color="auto"/>
          </w:divBdr>
        </w:div>
        <w:div w:id="2114858400">
          <w:marLeft w:val="547"/>
          <w:marRight w:val="0"/>
          <w:marTop w:val="120"/>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2</Pages>
  <Words>132</Words>
  <Characters>759</Characters>
  <Application>Microsoft Office Word</Application>
  <DocSecurity>0</DocSecurity>
  <Lines>6</Lines>
  <Paragraphs>1</Paragraphs>
  <ScaleCrop>false</ScaleCrop>
  <Company/>
  <LinksUpToDate>false</LinksUpToDate>
  <CharactersWithSpaces>890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10</cp:revision>
  <cp:lastPrinted>2017-07-04T01:22:00Z</cp:lastPrinted>
  <dcterms:created xsi:type="dcterms:W3CDTF">2017-06-30T06:56:00Z</dcterms:created>
  <dcterms:modified xsi:type="dcterms:W3CDTF">2017-07-04T01:46:00Z</dcterms:modified>
</cp:coreProperties>
</file>